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B121A1" w:rsidTr="00B121A1">
        <w:tc>
          <w:tcPr>
            <w:tcW w:w="4535" w:type="dxa"/>
          </w:tcPr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  <w:p w:rsidR="00B121A1" w:rsidRDefault="00B121A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:rsidR="00B121A1" w:rsidRDefault="00B121A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(pieczęć firmowa Wykonawcy)</w:t>
            </w:r>
          </w:p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536" w:type="dxa"/>
          </w:tcPr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Załącznik nr 1 do zaproszenia</w:t>
            </w: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do złożenia oferty</w:t>
            </w:r>
          </w:p>
          <w:p w:rsidR="00B121A1" w:rsidRDefault="00B121A1">
            <w:pPr>
              <w:snapToGrid w:val="0"/>
              <w:spacing w:after="0" w:line="100" w:lineRule="atLeas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...................................................., dnia ...........................</w:t>
            </w:r>
          </w:p>
          <w:p w:rsidR="00B121A1" w:rsidRDefault="00B121A1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                  (miejscowość)</w:t>
            </w:r>
          </w:p>
        </w:tc>
      </w:tr>
    </w:tbl>
    <w:p w:rsidR="00B121A1" w:rsidRDefault="00B121A1" w:rsidP="00B12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OFERTA CENOWA  - SUKCESYWNA DOSTAWA NABIAŁU I PRZETWORÓW MLECZNYCH DO DOMU POMOCY SPOŁECZNEJ W GOŚCINIE W TERMINIE OD DNIA PODPISANIA UMOWY DO 31.12.2021 R.</w:t>
      </w:r>
    </w:p>
    <w:p w:rsidR="00B121A1" w:rsidRDefault="00B121A1" w:rsidP="00B12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tbl>
      <w:tblPr>
        <w:tblW w:w="0" w:type="auto"/>
        <w:tblInd w:w="2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2693"/>
        <w:gridCol w:w="586"/>
        <w:gridCol w:w="709"/>
        <w:gridCol w:w="1134"/>
        <w:gridCol w:w="992"/>
        <w:gridCol w:w="851"/>
        <w:gridCol w:w="1134"/>
      </w:tblGrid>
      <w:tr w:rsidR="00B121A1" w:rsidTr="00B121A1"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  <w:r>
              <w:rPr>
                <w:rFonts w:ascii="Cambria" w:hAnsi="Cambria"/>
                <w:b/>
                <w:vertAlign w:val="baseline"/>
              </w:rPr>
              <w:t>L.p.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Wartość netto</w:t>
            </w:r>
          </w:p>
          <w:p w:rsidR="00B121A1" w:rsidRDefault="00B121A1">
            <w:pPr>
              <w:pStyle w:val="Zawartotabeli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 xml:space="preserve">kol: 4x5 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Stawka VAT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 xml:space="preserve">Wartość brutto 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 xml:space="preserve"> kol 6x7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[zł]</w:t>
            </w: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Deser czekoladowy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180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Jogurt owocowy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960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Margaryna Kasia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Serek homo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 xml:space="preserve">    480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Margaryna </w:t>
            </w: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Delma</w:t>
            </w:r>
            <w:proofErr w:type="spellEnd"/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 0,5 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Jogurt naturalny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Margaryna </w:t>
            </w: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Delma</w:t>
            </w:r>
            <w:proofErr w:type="spellEnd"/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 1 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Masło śmietankowe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82% tłuszczu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Mleko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2%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6700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Serek śmietankowy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kanapkowy  180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żółty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Serek </w:t>
            </w: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Almette</w:t>
            </w:r>
            <w:bookmarkStart w:id="0" w:name="_GoBack"/>
            <w:bookmarkEnd w:id="0"/>
            <w:proofErr w:type="spellEnd"/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topiony blok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 xml:space="preserve">   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topiony zegar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Serek wiejski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Twaróg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B121A1">
        <w:tc>
          <w:tcPr>
            <w:tcW w:w="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</w:tbl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1) Warunki cenowe oferty: </w:t>
      </w:r>
    </w:p>
    <w:p w:rsidR="00B121A1" w:rsidRDefault="00B121A1" w:rsidP="00B121A1">
      <w:pPr>
        <w:autoSpaceDE w:val="0"/>
        <w:spacing w:before="240"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............................................................................................. </w:t>
      </w:r>
    </w:p>
    <w:p w:rsidR="00B121A1" w:rsidRDefault="00B121A1" w:rsidP="00B121A1">
      <w:pPr>
        <w:autoSpaceDE w:val="0"/>
        <w:spacing w:before="240"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>
        <w:rPr>
          <w:rFonts w:ascii="Cambria" w:eastAsia="TimesNewRomanPS-BoldMT" w:hAnsi="Cambria" w:cs="TimesNewRomanPS-BoldMT"/>
          <w:color w:val="000000"/>
        </w:rPr>
        <w:t xml:space="preserve">…................................................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>
        <w:rPr>
          <w:rFonts w:ascii="Cambria" w:eastAsia="TimesNewRomanPS-BoldMT" w:hAnsi="Cambria" w:cs="TimesNewRomanPS-BoldMT"/>
          <w:color w:val="000000"/>
        </w:rPr>
        <w:t>…........................................................... słownie: ..............................................................................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2) Warunki dostawy: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3) Warunki płatności: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4) Preferowany sposób składania zamówienia: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5) Czas realizacji zamówienia 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6) Możliwość uzyskania rabatów/ upustów: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color w:val="000000"/>
        </w:rPr>
        <w:t>7) Dane osoby do kontaktu:</w:t>
      </w:r>
      <w:r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B121A1" w:rsidTr="00B121A1">
        <w:tc>
          <w:tcPr>
            <w:tcW w:w="4535" w:type="dxa"/>
          </w:tcPr>
          <w:p w:rsidR="00B121A1" w:rsidRDefault="00B121A1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B121A1" w:rsidRDefault="00B121A1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536" w:type="dxa"/>
          </w:tcPr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B121A1" w:rsidRDefault="00B121A1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</w:tbl>
    <w:p w:rsidR="00B121A1" w:rsidRDefault="00B121A1" w:rsidP="00B121A1">
      <w:pPr>
        <w:spacing w:after="0"/>
        <w:rPr>
          <w:rFonts w:ascii="Cambria" w:hAnsi="Cambria"/>
          <w:sz w:val="24"/>
          <w:szCs w:val="24"/>
        </w:rPr>
      </w:pPr>
    </w:p>
    <w:p w:rsidR="000E3919" w:rsidRDefault="000E3919"/>
    <w:sectPr w:rsidR="000E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F9"/>
    <w:rsid w:val="000E3919"/>
    <w:rsid w:val="00574D7F"/>
    <w:rsid w:val="00AD1CF9"/>
    <w:rsid w:val="00B1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121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vertAlign w:val="superscript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121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vertAlign w:val="superscrip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dps1</dc:creator>
  <cp:keywords/>
  <dc:description/>
  <cp:lastModifiedBy>dps1</cp:lastModifiedBy>
  <cp:revision>4</cp:revision>
  <dcterms:created xsi:type="dcterms:W3CDTF">2020-12-14T12:44:00Z</dcterms:created>
  <dcterms:modified xsi:type="dcterms:W3CDTF">2020-12-15T09:25:00Z</dcterms:modified>
</cp:coreProperties>
</file>